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79442" w14:textId="5F5CA4D9" w:rsidR="00995981" w:rsidRPr="0042059B" w:rsidRDefault="00F97F5B" w:rsidP="0042059B">
      <w:pPr>
        <w:pStyle w:val="Title"/>
        <w:pBdr>
          <w:bottom w:val="single" w:sz="8" w:space="6" w:color="4F81BD" w:themeColor="accent1"/>
        </w:pBdr>
        <w:rPr>
          <w:rFonts w:ascii="Times New Roman" w:hAnsi="Times New Roman" w:cs="Times New Roman"/>
          <w:b/>
          <w:bCs/>
          <w:color w:val="auto"/>
          <w:sz w:val="24"/>
          <w:szCs w:val="24"/>
        </w:rPr>
      </w:pPr>
      <w:r w:rsidRPr="0042059B">
        <w:rPr>
          <w:rFonts w:ascii="Times New Roman" w:hAnsi="Times New Roman" w:cs="Times New Roman"/>
          <w:b/>
          <w:bCs/>
          <w:color w:val="auto"/>
          <w:sz w:val="24"/>
          <w:szCs w:val="24"/>
        </w:rPr>
        <w:t>Impact Analysis Report</w:t>
      </w:r>
    </w:p>
    <w:p w14:paraId="7969E7F3" w14:textId="77777777" w:rsidR="00BB3789" w:rsidRDefault="00BB3789">
      <w:pPr>
        <w:rPr>
          <w:rFonts w:ascii="Times New Roman" w:hAnsi="Times New Roman" w:cs="Times New Roman"/>
          <w:b/>
          <w:bCs/>
          <w:sz w:val="24"/>
          <w:szCs w:val="24"/>
          <w:lang w:val="en-IE"/>
        </w:rPr>
      </w:pPr>
      <w:r w:rsidRPr="00BB3789">
        <w:rPr>
          <w:rFonts w:ascii="Times New Roman" w:hAnsi="Times New Roman" w:cs="Times New Roman"/>
          <w:b/>
          <w:bCs/>
          <w:sz w:val="24"/>
          <w:szCs w:val="24"/>
          <w:lang w:val="en-IE"/>
        </w:rPr>
        <w:t xml:space="preserve">Collaboration for Inclusion: Best Practices for Erasmus+ Adult Education Mobilities Involving Learners with Disabilities </w:t>
      </w:r>
    </w:p>
    <w:p w14:paraId="2D565F46" w14:textId="77777777" w:rsidR="002C378A" w:rsidRDefault="002C378A">
      <w:pPr>
        <w:rPr>
          <w:rFonts w:ascii="Times New Roman" w:hAnsi="Times New Roman" w:cs="Times New Roman"/>
          <w:b/>
          <w:bCs/>
          <w:sz w:val="24"/>
          <w:szCs w:val="24"/>
          <w:lang w:val="en-IE"/>
        </w:rPr>
      </w:pPr>
    </w:p>
    <w:p w14:paraId="4F212602" w14:textId="6754A683" w:rsidR="009C34CF" w:rsidRPr="009C34CF" w:rsidRDefault="009C34CF" w:rsidP="009C34CF">
      <w:pPr>
        <w:rPr>
          <w:rFonts w:ascii="Times New Roman" w:hAnsi="Times New Roman" w:cs="Times New Roman"/>
          <w:b/>
          <w:bCs/>
          <w:sz w:val="24"/>
          <w:szCs w:val="24"/>
          <w:lang w:val="en-IE"/>
        </w:rPr>
      </w:pPr>
      <w:r w:rsidRPr="009C34CF">
        <w:rPr>
          <w:rFonts w:ascii="Times New Roman" w:hAnsi="Times New Roman" w:cs="Times New Roman"/>
          <w:b/>
          <w:bCs/>
          <w:sz w:val="24"/>
          <w:szCs w:val="24"/>
          <w:lang w:val="en-IE"/>
        </w:rPr>
        <w:t>23 March 2026 – 27 March 2026</w:t>
      </w:r>
      <w:r>
        <w:rPr>
          <w:rFonts w:ascii="Times New Roman" w:hAnsi="Times New Roman" w:cs="Times New Roman"/>
          <w:b/>
          <w:bCs/>
          <w:sz w:val="24"/>
          <w:szCs w:val="24"/>
          <w:lang w:val="en-IE"/>
        </w:rPr>
        <w:t xml:space="preserve">, Dublin hosted by Léargas </w:t>
      </w:r>
    </w:p>
    <w:p w14:paraId="2BB74181" w14:textId="77777777" w:rsidR="00BB3789" w:rsidRDefault="00BB3789">
      <w:pPr>
        <w:rPr>
          <w:rFonts w:ascii="Times New Roman" w:hAnsi="Times New Roman" w:cs="Times New Roman"/>
          <w:b/>
          <w:bCs/>
          <w:sz w:val="24"/>
          <w:szCs w:val="24"/>
          <w:lang w:val="en-IE"/>
        </w:rPr>
      </w:pPr>
    </w:p>
    <w:p w14:paraId="311F88A3" w14:textId="6EF442E5" w:rsidR="00995981" w:rsidRPr="00053030" w:rsidRDefault="00F97F5B">
      <w:pPr>
        <w:rPr>
          <w:rFonts w:ascii="Times New Roman" w:hAnsi="Times New Roman" w:cs="Times New Roman"/>
          <w:sz w:val="24"/>
          <w:szCs w:val="24"/>
        </w:rPr>
      </w:pPr>
      <w:r w:rsidRPr="00053030">
        <w:rPr>
          <w:rFonts w:ascii="Times New Roman" w:hAnsi="Times New Roman" w:cs="Times New Roman"/>
          <w:sz w:val="24"/>
          <w:szCs w:val="24"/>
        </w:rPr>
        <w:t>Total respondents analysed: 19</w:t>
      </w:r>
      <w:r w:rsidR="00870A4D" w:rsidRPr="00053030">
        <w:rPr>
          <w:rFonts w:ascii="Times New Roman" w:hAnsi="Times New Roman" w:cs="Times New Roman"/>
          <w:sz w:val="24"/>
          <w:szCs w:val="24"/>
        </w:rPr>
        <w:t xml:space="preserve">- 100% </w:t>
      </w:r>
      <w:r w:rsidR="0042059B" w:rsidRPr="00053030">
        <w:rPr>
          <w:rFonts w:ascii="Times New Roman" w:hAnsi="Times New Roman" w:cs="Times New Roman"/>
          <w:sz w:val="24"/>
          <w:szCs w:val="24"/>
        </w:rPr>
        <w:t>respondents’</w:t>
      </w:r>
      <w:r w:rsidR="00870A4D" w:rsidRPr="00053030">
        <w:rPr>
          <w:rFonts w:ascii="Times New Roman" w:hAnsi="Times New Roman" w:cs="Times New Roman"/>
          <w:sz w:val="24"/>
          <w:szCs w:val="24"/>
        </w:rPr>
        <w:t xml:space="preserve"> rate </w:t>
      </w:r>
    </w:p>
    <w:p w14:paraId="2A30F656" w14:textId="77777777" w:rsidR="0042059B" w:rsidRPr="0042059B" w:rsidRDefault="0042059B" w:rsidP="0042059B">
      <w:pPr>
        <w:rPr>
          <w:rFonts w:ascii="Times New Roman" w:hAnsi="Times New Roman" w:cs="Times New Roman"/>
          <w:b/>
          <w:bCs/>
          <w:sz w:val="24"/>
          <w:szCs w:val="24"/>
        </w:rPr>
      </w:pPr>
      <w:r w:rsidRPr="0042059B">
        <w:rPr>
          <w:rFonts w:ascii="Times New Roman" w:hAnsi="Times New Roman" w:cs="Times New Roman"/>
          <w:b/>
          <w:bCs/>
          <w:sz w:val="24"/>
          <w:szCs w:val="24"/>
        </w:rPr>
        <w:t>Participant Profile</w:t>
      </w:r>
    </w:p>
    <w:p w14:paraId="22312FCB" w14:textId="6C22EF32" w:rsidR="009C34CF" w:rsidRPr="00053030" w:rsidRDefault="0042059B" w:rsidP="009C34CF">
      <w:pPr>
        <w:rPr>
          <w:rFonts w:ascii="Times New Roman" w:hAnsi="Times New Roman" w:cs="Times New Roman"/>
          <w:sz w:val="24"/>
          <w:szCs w:val="24"/>
        </w:rPr>
      </w:pPr>
      <w:r w:rsidRPr="00053030">
        <w:rPr>
          <w:rFonts w:ascii="Times New Roman" w:hAnsi="Times New Roman" w:cs="Times New Roman"/>
          <w:sz w:val="24"/>
          <w:szCs w:val="24"/>
        </w:rPr>
        <w:t>Participants represented adult education organisations, inclusion practitioners, disability specialists and Erasmus+ stakeholders from different European countries. Most respondents were directly involved in supporting learners with disabilities and disadvantaged adults.</w:t>
      </w:r>
    </w:p>
    <w:p w14:paraId="4D652AC3" w14:textId="009F4BAC" w:rsidR="00995981" w:rsidRPr="0042059B" w:rsidRDefault="00F97F5B" w:rsidP="0042059B">
      <w:pPr>
        <w:rPr>
          <w:rFonts w:ascii="Times New Roman" w:hAnsi="Times New Roman" w:cs="Times New Roman"/>
          <w:b/>
          <w:sz w:val="24"/>
          <w:szCs w:val="24"/>
        </w:rPr>
      </w:pPr>
      <w:r w:rsidRPr="0042059B">
        <w:rPr>
          <w:rFonts w:ascii="Times New Roman" w:hAnsi="Times New Roman" w:cs="Times New Roman"/>
          <w:b/>
          <w:sz w:val="24"/>
          <w:szCs w:val="24"/>
        </w:rPr>
        <w:t>Overall satisfaction:</w:t>
      </w:r>
      <w:r w:rsidRPr="0042059B">
        <w:rPr>
          <w:rFonts w:ascii="Times New Roman" w:hAnsi="Times New Roman" w:cs="Times New Roman"/>
          <w:b/>
          <w:sz w:val="24"/>
          <w:szCs w:val="24"/>
        </w:rPr>
        <w:br/>
      </w:r>
      <w:r w:rsidRPr="0042059B">
        <w:rPr>
          <w:rFonts w:ascii="Times New Roman" w:hAnsi="Times New Roman" w:cs="Times New Roman"/>
          <w:sz w:val="24"/>
          <w:szCs w:val="24"/>
        </w:rPr>
        <w:t>• 100% (19/19) reported being 'Very satisfied' with the event.</w:t>
      </w:r>
      <w:r w:rsidRPr="0042059B">
        <w:rPr>
          <w:rFonts w:ascii="Times New Roman" w:hAnsi="Times New Roman" w:cs="Times New Roman"/>
          <w:sz w:val="24"/>
          <w:szCs w:val="24"/>
        </w:rPr>
        <w:br/>
        <w:t>• 89% (17/19) were very satisfied with organisation and facilities.</w:t>
      </w:r>
      <w:r w:rsidRPr="0042059B">
        <w:rPr>
          <w:rFonts w:ascii="Times New Roman" w:hAnsi="Times New Roman" w:cs="Times New Roman"/>
          <w:sz w:val="24"/>
          <w:szCs w:val="24"/>
        </w:rPr>
        <w:br/>
        <w:t>• 89% (17/19) were very satisfied with the organiser's support.</w:t>
      </w:r>
      <w:r w:rsidRPr="0042059B">
        <w:rPr>
          <w:rFonts w:ascii="Times New Roman" w:hAnsi="Times New Roman" w:cs="Times New Roman"/>
          <w:sz w:val="24"/>
          <w:szCs w:val="24"/>
        </w:rPr>
        <w:br/>
        <w:t>• 89% (17/19) were very satisfied with event content.</w:t>
      </w:r>
    </w:p>
    <w:p w14:paraId="3D2662EA" w14:textId="661F5E2E" w:rsidR="00995981" w:rsidRPr="00956914" w:rsidRDefault="00F97F5B">
      <w:pPr>
        <w:pStyle w:val="Heading1"/>
        <w:rPr>
          <w:rFonts w:ascii="Times New Roman" w:hAnsi="Times New Roman" w:cs="Times New Roman"/>
          <w:color w:val="auto"/>
          <w:sz w:val="24"/>
          <w:szCs w:val="24"/>
        </w:rPr>
      </w:pPr>
      <w:r w:rsidRPr="00956914">
        <w:rPr>
          <w:rFonts w:ascii="Times New Roman" w:hAnsi="Times New Roman" w:cs="Times New Roman"/>
          <w:color w:val="auto"/>
          <w:sz w:val="24"/>
          <w:szCs w:val="24"/>
        </w:rPr>
        <w:t>Pre-</w:t>
      </w:r>
      <w:r w:rsidR="0042059B">
        <w:rPr>
          <w:rFonts w:ascii="Times New Roman" w:hAnsi="Times New Roman" w:cs="Times New Roman"/>
          <w:color w:val="auto"/>
          <w:sz w:val="24"/>
          <w:szCs w:val="24"/>
        </w:rPr>
        <w:t>TCA</w:t>
      </w:r>
      <w:r w:rsidRPr="00956914">
        <w:rPr>
          <w:rFonts w:ascii="Times New Roman" w:hAnsi="Times New Roman" w:cs="Times New Roman"/>
          <w:color w:val="auto"/>
          <w:sz w:val="24"/>
          <w:szCs w:val="24"/>
        </w:rPr>
        <w:t xml:space="preserve"> Expectations </w:t>
      </w:r>
    </w:p>
    <w:p w14:paraId="04AD9051" w14:textId="6B2E1257" w:rsidR="00995981" w:rsidRPr="00053030" w:rsidRDefault="00F97F5B">
      <w:pPr>
        <w:rPr>
          <w:rFonts w:ascii="Times New Roman" w:hAnsi="Times New Roman" w:cs="Times New Roman"/>
          <w:sz w:val="24"/>
          <w:szCs w:val="24"/>
        </w:rPr>
      </w:pPr>
      <w:r w:rsidRPr="00053030">
        <w:rPr>
          <w:rFonts w:ascii="Times New Roman" w:hAnsi="Times New Roman" w:cs="Times New Roman"/>
          <w:sz w:val="24"/>
          <w:szCs w:val="24"/>
        </w:rPr>
        <w:t>Analysis of participants' expectations before the event revealed four dominant themes:</w:t>
      </w:r>
      <w:r w:rsidRPr="00053030">
        <w:rPr>
          <w:rFonts w:ascii="Times New Roman" w:hAnsi="Times New Roman" w:cs="Times New Roman"/>
          <w:sz w:val="24"/>
          <w:szCs w:val="24"/>
        </w:rPr>
        <w:br/>
        <w:t>• Building European partnerships and networks.</w:t>
      </w:r>
      <w:r w:rsidRPr="00053030">
        <w:rPr>
          <w:rFonts w:ascii="Times New Roman" w:hAnsi="Times New Roman" w:cs="Times New Roman"/>
          <w:sz w:val="24"/>
          <w:szCs w:val="24"/>
        </w:rPr>
        <w:br/>
        <w:t>• Learning inclusive practices and accessibility approaches.</w:t>
      </w:r>
      <w:r w:rsidRPr="00053030">
        <w:rPr>
          <w:rFonts w:ascii="Times New Roman" w:hAnsi="Times New Roman" w:cs="Times New Roman"/>
          <w:sz w:val="24"/>
          <w:szCs w:val="24"/>
        </w:rPr>
        <w:br/>
        <w:t>• Improving knowledge of Erasmus+ opportunities for learners with disabilities.</w:t>
      </w:r>
      <w:r w:rsidRPr="00053030">
        <w:rPr>
          <w:rFonts w:ascii="Times New Roman" w:hAnsi="Times New Roman" w:cs="Times New Roman"/>
          <w:sz w:val="24"/>
          <w:szCs w:val="24"/>
        </w:rPr>
        <w:br/>
        <w:t>• Strengthening organisational capacity for future mobility and cooperation projects.</w:t>
      </w:r>
    </w:p>
    <w:p w14:paraId="5600FE90" w14:textId="33469638" w:rsidR="00956914" w:rsidRPr="00C77B2C" w:rsidRDefault="00F97F5B" w:rsidP="00C77B2C">
      <w:pPr>
        <w:pStyle w:val="Heading1"/>
        <w:rPr>
          <w:rFonts w:ascii="Times New Roman" w:hAnsi="Times New Roman" w:cs="Times New Roman"/>
          <w:color w:val="auto"/>
          <w:sz w:val="24"/>
          <w:szCs w:val="24"/>
        </w:rPr>
      </w:pPr>
      <w:r w:rsidRPr="00956914">
        <w:rPr>
          <w:rFonts w:ascii="Times New Roman" w:hAnsi="Times New Roman" w:cs="Times New Roman"/>
          <w:color w:val="auto"/>
          <w:sz w:val="24"/>
          <w:szCs w:val="24"/>
        </w:rPr>
        <w:t>Post-</w:t>
      </w:r>
      <w:r w:rsidR="0042059B">
        <w:rPr>
          <w:rFonts w:ascii="Times New Roman" w:hAnsi="Times New Roman" w:cs="Times New Roman"/>
          <w:color w:val="auto"/>
          <w:sz w:val="24"/>
          <w:szCs w:val="24"/>
        </w:rPr>
        <w:t>TCA</w:t>
      </w:r>
      <w:r w:rsidRPr="00956914">
        <w:rPr>
          <w:rFonts w:ascii="Times New Roman" w:hAnsi="Times New Roman" w:cs="Times New Roman"/>
          <w:color w:val="auto"/>
          <w:sz w:val="24"/>
          <w:szCs w:val="24"/>
        </w:rPr>
        <w:t xml:space="preserve"> Impact </w:t>
      </w:r>
    </w:p>
    <w:p w14:paraId="60225986" w14:textId="27AE07DB" w:rsidR="00995981" w:rsidRPr="00053030" w:rsidRDefault="00F97F5B">
      <w:pPr>
        <w:rPr>
          <w:rFonts w:ascii="Times New Roman" w:hAnsi="Times New Roman" w:cs="Times New Roman"/>
          <w:sz w:val="24"/>
          <w:szCs w:val="24"/>
        </w:rPr>
      </w:pPr>
      <w:r w:rsidRPr="00053030">
        <w:rPr>
          <w:rFonts w:ascii="Times New Roman" w:hAnsi="Times New Roman" w:cs="Times New Roman"/>
          <w:sz w:val="24"/>
          <w:szCs w:val="24"/>
        </w:rPr>
        <w:t xml:space="preserve">Post-event responses indicate that participants achieved substantial professional and </w:t>
      </w:r>
      <w:r w:rsidR="0042059B">
        <w:rPr>
          <w:rFonts w:ascii="Times New Roman" w:hAnsi="Times New Roman" w:cs="Times New Roman"/>
          <w:sz w:val="24"/>
          <w:szCs w:val="24"/>
        </w:rPr>
        <w:t xml:space="preserve">organisational </w:t>
      </w:r>
      <w:r w:rsidRPr="00053030">
        <w:rPr>
          <w:rFonts w:ascii="Times New Roman" w:hAnsi="Times New Roman" w:cs="Times New Roman"/>
          <w:sz w:val="24"/>
          <w:szCs w:val="24"/>
        </w:rPr>
        <w:t>benefits:</w:t>
      </w:r>
      <w:r w:rsidRPr="00053030">
        <w:rPr>
          <w:rFonts w:ascii="Times New Roman" w:hAnsi="Times New Roman" w:cs="Times New Roman"/>
          <w:sz w:val="24"/>
          <w:szCs w:val="24"/>
        </w:rPr>
        <w:br/>
        <w:t>• Increased knowledge of inclusive mobility practices.</w:t>
      </w:r>
      <w:r w:rsidRPr="00053030">
        <w:rPr>
          <w:rFonts w:ascii="Times New Roman" w:hAnsi="Times New Roman" w:cs="Times New Roman"/>
          <w:sz w:val="24"/>
          <w:szCs w:val="24"/>
        </w:rPr>
        <w:br/>
        <w:t>• Enhanced confidence in supporting learners with disabilities.</w:t>
      </w:r>
      <w:r w:rsidRPr="00053030">
        <w:rPr>
          <w:rFonts w:ascii="Times New Roman" w:hAnsi="Times New Roman" w:cs="Times New Roman"/>
          <w:sz w:val="24"/>
          <w:szCs w:val="24"/>
        </w:rPr>
        <w:br/>
        <w:t>• Establishment of new international contacts and partnership opportunities.</w:t>
      </w:r>
      <w:r w:rsidRPr="00053030">
        <w:rPr>
          <w:rFonts w:ascii="Times New Roman" w:hAnsi="Times New Roman" w:cs="Times New Roman"/>
          <w:sz w:val="24"/>
          <w:szCs w:val="24"/>
        </w:rPr>
        <w:br/>
        <w:t>• Greater readiness to participate in future Erasmus+ projects.</w:t>
      </w:r>
      <w:r w:rsidRPr="00053030">
        <w:rPr>
          <w:rFonts w:ascii="Times New Roman" w:hAnsi="Times New Roman" w:cs="Times New Roman"/>
          <w:sz w:val="24"/>
          <w:szCs w:val="24"/>
        </w:rPr>
        <w:br/>
        <w:t>• Strong appreciation of peer learning and exchange of good practices.</w:t>
      </w:r>
    </w:p>
    <w:p w14:paraId="20D14ADD" w14:textId="6BA413F7" w:rsidR="00995981" w:rsidRDefault="00F97F5B">
      <w:pPr>
        <w:pStyle w:val="Heading1"/>
        <w:rPr>
          <w:rFonts w:ascii="Times New Roman" w:hAnsi="Times New Roman" w:cs="Times New Roman"/>
          <w:color w:val="auto"/>
          <w:sz w:val="24"/>
          <w:szCs w:val="24"/>
        </w:rPr>
      </w:pPr>
      <w:r w:rsidRPr="0042059B">
        <w:rPr>
          <w:rFonts w:ascii="Times New Roman" w:hAnsi="Times New Roman" w:cs="Times New Roman"/>
          <w:color w:val="auto"/>
          <w:sz w:val="24"/>
          <w:szCs w:val="24"/>
        </w:rPr>
        <w:lastRenderedPageBreak/>
        <w:t>Impact Comparison: Before vs After</w:t>
      </w:r>
    </w:p>
    <w:p w14:paraId="3B48C8EA" w14:textId="77777777" w:rsidR="0042059B" w:rsidRPr="0042059B" w:rsidRDefault="0042059B" w:rsidP="0042059B"/>
    <w:tbl>
      <w:tblPr>
        <w:tblStyle w:val="TableGrid"/>
        <w:tblW w:w="0" w:type="auto"/>
        <w:tblLook w:val="04A0" w:firstRow="1" w:lastRow="0" w:firstColumn="1" w:lastColumn="0" w:noHBand="0" w:noVBand="1"/>
      </w:tblPr>
      <w:tblGrid>
        <w:gridCol w:w="2876"/>
        <w:gridCol w:w="2877"/>
        <w:gridCol w:w="2877"/>
      </w:tblGrid>
      <w:tr w:rsidR="00995981" w:rsidRPr="00053030" w14:paraId="52096371" w14:textId="77777777">
        <w:tc>
          <w:tcPr>
            <w:tcW w:w="2880" w:type="dxa"/>
          </w:tcPr>
          <w:p w14:paraId="1831CA51" w14:textId="77777777" w:rsidR="00995981" w:rsidRPr="00053030" w:rsidRDefault="00F97F5B">
            <w:pPr>
              <w:rPr>
                <w:rFonts w:ascii="Times New Roman" w:hAnsi="Times New Roman" w:cs="Times New Roman"/>
                <w:sz w:val="24"/>
                <w:szCs w:val="24"/>
              </w:rPr>
            </w:pPr>
            <w:r w:rsidRPr="00053030">
              <w:rPr>
                <w:rFonts w:ascii="Times New Roman" w:hAnsi="Times New Roman" w:cs="Times New Roman"/>
                <w:sz w:val="24"/>
                <w:szCs w:val="24"/>
              </w:rPr>
              <w:t>Dimension</w:t>
            </w:r>
          </w:p>
        </w:tc>
        <w:tc>
          <w:tcPr>
            <w:tcW w:w="2880" w:type="dxa"/>
          </w:tcPr>
          <w:p w14:paraId="492B4A96" w14:textId="77777777" w:rsidR="00995981" w:rsidRPr="00053030" w:rsidRDefault="00F97F5B">
            <w:pPr>
              <w:rPr>
                <w:rFonts w:ascii="Times New Roman" w:hAnsi="Times New Roman" w:cs="Times New Roman"/>
                <w:sz w:val="24"/>
                <w:szCs w:val="24"/>
              </w:rPr>
            </w:pPr>
            <w:r w:rsidRPr="00053030">
              <w:rPr>
                <w:rFonts w:ascii="Times New Roman" w:hAnsi="Times New Roman" w:cs="Times New Roman"/>
                <w:sz w:val="24"/>
                <w:szCs w:val="24"/>
              </w:rPr>
              <w:t>Pre-event</w:t>
            </w:r>
          </w:p>
        </w:tc>
        <w:tc>
          <w:tcPr>
            <w:tcW w:w="2880" w:type="dxa"/>
          </w:tcPr>
          <w:p w14:paraId="1CD92912" w14:textId="77777777" w:rsidR="00995981" w:rsidRPr="00053030" w:rsidRDefault="00F97F5B">
            <w:pPr>
              <w:rPr>
                <w:rFonts w:ascii="Times New Roman" w:hAnsi="Times New Roman" w:cs="Times New Roman"/>
                <w:sz w:val="24"/>
                <w:szCs w:val="24"/>
              </w:rPr>
            </w:pPr>
            <w:r w:rsidRPr="00053030">
              <w:rPr>
                <w:rFonts w:ascii="Times New Roman" w:hAnsi="Times New Roman" w:cs="Times New Roman"/>
                <w:sz w:val="24"/>
                <w:szCs w:val="24"/>
              </w:rPr>
              <w:t>Post-event Impact</w:t>
            </w:r>
          </w:p>
        </w:tc>
      </w:tr>
      <w:tr w:rsidR="00995981" w:rsidRPr="00053030" w14:paraId="0A6B6B42" w14:textId="77777777">
        <w:tc>
          <w:tcPr>
            <w:tcW w:w="2880" w:type="dxa"/>
          </w:tcPr>
          <w:p w14:paraId="4D38BFF7" w14:textId="77777777" w:rsidR="00995981" w:rsidRPr="00053030" w:rsidRDefault="00F97F5B">
            <w:pPr>
              <w:rPr>
                <w:rFonts w:ascii="Times New Roman" w:hAnsi="Times New Roman" w:cs="Times New Roman"/>
                <w:sz w:val="24"/>
                <w:szCs w:val="24"/>
              </w:rPr>
            </w:pPr>
            <w:r w:rsidRPr="00053030">
              <w:rPr>
                <w:rFonts w:ascii="Times New Roman" w:hAnsi="Times New Roman" w:cs="Times New Roman"/>
                <w:sz w:val="24"/>
                <w:szCs w:val="24"/>
              </w:rPr>
              <w:t>Knowledge</w:t>
            </w:r>
          </w:p>
        </w:tc>
        <w:tc>
          <w:tcPr>
            <w:tcW w:w="2880" w:type="dxa"/>
          </w:tcPr>
          <w:p w14:paraId="15293F60" w14:textId="77777777" w:rsidR="00995981" w:rsidRPr="00053030" w:rsidRDefault="00F97F5B">
            <w:pPr>
              <w:rPr>
                <w:rFonts w:ascii="Times New Roman" w:hAnsi="Times New Roman" w:cs="Times New Roman"/>
                <w:sz w:val="24"/>
                <w:szCs w:val="24"/>
              </w:rPr>
            </w:pPr>
            <w:r w:rsidRPr="00053030">
              <w:rPr>
                <w:rFonts w:ascii="Times New Roman" w:hAnsi="Times New Roman" w:cs="Times New Roman"/>
                <w:sz w:val="24"/>
                <w:szCs w:val="24"/>
              </w:rPr>
              <w:t>Expected to learn about inclusion and Erasmus+</w:t>
            </w:r>
          </w:p>
        </w:tc>
        <w:tc>
          <w:tcPr>
            <w:tcW w:w="2880" w:type="dxa"/>
          </w:tcPr>
          <w:p w14:paraId="6A70F4C7" w14:textId="77777777" w:rsidR="00995981" w:rsidRPr="00053030" w:rsidRDefault="00F97F5B">
            <w:pPr>
              <w:rPr>
                <w:rFonts w:ascii="Times New Roman" w:hAnsi="Times New Roman" w:cs="Times New Roman"/>
                <w:sz w:val="24"/>
                <w:szCs w:val="24"/>
              </w:rPr>
            </w:pPr>
            <w:r w:rsidRPr="00053030">
              <w:rPr>
                <w:rFonts w:ascii="Times New Roman" w:hAnsi="Times New Roman" w:cs="Times New Roman"/>
                <w:sz w:val="24"/>
                <w:szCs w:val="24"/>
              </w:rPr>
              <w:t>Reported increased expertise and practical understanding</w:t>
            </w:r>
          </w:p>
        </w:tc>
      </w:tr>
      <w:tr w:rsidR="00995981" w:rsidRPr="00053030" w14:paraId="73DEF407" w14:textId="77777777">
        <w:tc>
          <w:tcPr>
            <w:tcW w:w="2880" w:type="dxa"/>
          </w:tcPr>
          <w:p w14:paraId="55FE8B35" w14:textId="77777777" w:rsidR="00995981" w:rsidRPr="00053030" w:rsidRDefault="00F97F5B">
            <w:pPr>
              <w:rPr>
                <w:rFonts w:ascii="Times New Roman" w:hAnsi="Times New Roman" w:cs="Times New Roman"/>
                <w:sz w:val="24"/>
                <w:szCs w:val="24"/>
              </w:rPr>
            </w:pPr>
            <w:r w:rsidRPr="00053030">
              <w:rPr>
                <w:rFonts w:ascii="Times New Roman" w:hAnsi="Times New Roman" w:cs="Times New Roman"/>
                <w:sz w:val="24"/>
                <w:szCs w:val="24"/>
              </w:rPr>
              <w:t>Networking</w:t>
            </w:r>
          </w:p>
        </w:tc>
        <w:tc>
          <w:tcPr>
            <w:tcW w:w="2880" w:type="dxa"/>
          </w:tcPr>
          <w:p w14:paraId="212F4DFE" w14:textId="77777777" w:rsidR="00995981" w:rsidRPr="00053030" w:rsidRDefault="00F97F5B">
            <w:pPr>
              <w:rPr>
                <w:rFonts w:ascii="Times New Roman" w:hAnsi="Times New Roman" w:cs="Times New Roman"/>
                <w:sz w:val="24"/>
                <w:szCs w:val="24"/>
              </w:rPr>
            </w:pPr>
            <w:r w:rsidRPr="00053030">
              <w:rPr>
                <w:rFonts w:ascii="Times New Roman" w:hAnsi="Times New Roman" w:cs="Times New Roman"/>
                <w:sz w:val="24"/>
                <w:szCs w:val="24"/>
              </w:rPr>
              <w:t>Expected to identify partners</w:t>
            </w:r>
          </w:p>
        </w:tc>
        <w:tc>
          <w:tcPr>
            <w:tcW w:w="2880" w:type="dxa"/>
          </w:tcPr>
          <w:p w14:paraId="2ECFC5AB" w14:textId="77777777" w:rsidR="00995981" w:rsidRPr="00053030" w:rsidRDefault="00F97F5B">
            <w:pPr>
              <w:rPr>
                <w:rFonts w:ascii="Times New Roman" w:hAnsi="Times New Roman" w:cs="Times New Roman"/>
                <w:sz w:val="24"/>
                <w:szCs w:val="24"/>
              </w:rPr>
            </w:pPr>
            <w:r w:rsidRPr="00053030">
              <w:rPr>
                <w:rFonts w:ascii="Times New Roman" w:hAnsi="Times New Roman" w:cs="Times New Roman"/>
                <w:sz w:val="24"/>
                <w:szCs w:val="24"/>
              </w:rPr>
              <w:t>New partnerships and networks established</w:t>
            </w:r>
          </w:p>
        </w:tc>
      </w:tr>
      <w:tr w:rsidR="00995981" w:rsidRPr="00053030" w14:paraId="7453CC9E" w14:textId="77777777">
        <w:tc>
          <w:tcPr>
            <w:tcW w:w="2880" w:type="dxa"/>
          </w:tcPr>
          <w:p w14:paraId="4B44B89D" w14:textId="77777777" w:rsidR="00995981" w:rsidRPr="00053030" w:rsidRDefault="00F97F5B">
            <w:pPr>
              <w:rPr>
                <w:rFonts w:ascii="Times New Roman" w:hAnsi="Times New Roman" w:cs="Times New Roman"/>
                <w:sz w:val="24"/>
                <w:szCs w:val="24"/>
              </w:rPr>
            </w:pPr>
            <w:r w:rsidRPr="00053030">
              <w:rPr>
                <w:rFonts w:ascii="Times New Roman" w:hAnsi="Times New Roman" w:cs="Times New Roman"/>
                <w:sz w:val="24"/>
                <w:szCs w:val="24"/>
              </w:rPr>
              <w:t>Institutional capacity</w:t>
            </w:r>
          </w:p>
        </w:tc>
        <w:tc>
          <w:tcPr>
            <w:tcW w:w="2880" w:type="dxa"/>
          </w:tcPr>
          <w:p w14:paraId="266B337B" w14:textId="77777777" w:rsidR="00995981" w:rsidRPr="00053030" w:rsidRDefault="00F97F5B">
            <w:pPr>
              <w:rPr>
                <w:rFonts w:ascii="Times New Roman" w:hAnsi="Times New Roman" w:cs="Times New Roman"/>
                <w:sz w:val="24"/>
                <w:szCs w:val="24"/>
              </w:rPr>
            </w:pPr>
            <w:r w:rsidRPr="00053030">
              <w:rPr>
                <w:rFonts w:ascii="Times New Roman" w:hAnsi="Times New Roman" w:cs="Times New Roman"/>
                <w:sz w:val="24"/>
                <w:szCs w:val="24"/>
              </w:rPr>
              <w:t>Sought strategies and tools</w:t>
            </w:r>
          </w:p>
        </w:tc>
        <w:tc>
          <w:tcPr>
            <w:tcW w:w="2880" w:type="dxa"/>
          </w:tcPr>
          <w:p w14:paraId="79A2C45B" w14:textId="77777777" w:rsidR="00995981" w:rsidRPr="00053030" w:rsidRDefault="00F97F5B">
            <w:pPr>
              <w:rPr>
                <w:rFonts w:ascii="Times New Roman" w:hAnsi="Times New Roman" w:cs="Times New Roman"/>
                <w:sz w:val="24"/>
                <w:szCs w:val="24"/>
              </w:rPr>
            </w:pPr>
            <w:r w:rsidRPr="00053030">
              <w:rPr>
                <w:rFonts w:ascii="Times New Roman" w:hAnsi="Times New Roman" w:cs="Times New Roman"/>
                <w:sz w:val="24"/>
                <w:szCs w:val="24"/>
              </w:rPr>
              <w:t>Enhanced organisational readiness and dissemination plans</w:t>
            </w:r>
          </w:p>
        </w:tc>
      </w:tr>
      <w:tr w:rsidR="00995981" w:rsidRPr="00053030" w14:paraId="6A9E4517" w14:textId="77777777">
        <w:tc>
          <w:tcPr>
            <w:tcW w:w="2880" w:type="dxa"/>
          </w:tcPr>
          <w:p w14:paraId="4DDDC973" w14:textId="77777777" w:rsidR="00995981" w:rsidRPr="00053030" w:rsidRDefault="00F97F5B">
            <w:pPr>
              <w:rPr>
                <w:rFonts w:ascii="Times New Roman" w:hAnsi="Times New Roman" w:cs="Times New Roman"/>
                <w:sz w:val="24"/>
                <w:szCs w:val="24"/>
              </w:rPr>
            </w:pPr>
            <w:r w:rsidRPr="00053030">
              <w:rPr>
                <w:rFonts w:ascii="Times New Roman" w:hAnsi="Times New Roman" w:cs="Times New Roman"/>
                <w:sz w:val="24"/>
                <w:szCs w:val="24"/>
              </w:rPr>
              <w:t>Motivation</w:t>
            </w:r>
          </w:p>
        </w:tc>
        <w:tc>
          <w:tcPr>
            <w:tcW w:w="2880" w:type="dxa"/>
          </w:tcPr>
          <w:p w14:paraId="50862AF3" w14:textId="77777777" w:rsidR="00995981" w:rsidRPr="00053030" w:rsidRDefault="00F97F5B">
            <w:pPr>
              <w:rPr>
                <w:rFonts w:ascii="Times New Roman" w:hAnsi="Times New Roman" w:cs="Times New Roman"/>
                <w:sz w:val="24"/>
                <w:szCs w:val="24"/>
              </w:rPr>
            </w:pPr>
            <w:r w:rsidRPr="00053030">
              <w:rPr>
                <w:rFonts w:ascii="Times New Roman" w:hAnsi="Times New Roman" w:cs="Times New Roman"/>
                <w:sz w:val="24"/>
                <w:szCs w:val="24"/>
              </w:rPr>
              <w:t>High expectations</w:t>
            </w:r>
          </w:p>
        </w:tc>
        <w:tc>
          <w:tcPr>
            <w:tcW w:w="2880" w:type="dxa"/>
          </w:tcPr>
          <w:p w14:paraId="462A94E1" w14:textId="77777777" w:rsidR="00995981" w:rsidRPr="00053030" w:rsidRDefault="00F97F5B">
            <w:pPr>
              <w:rPr>
                <w:rFonts w:ascii="Times New Roman" w:hAnsi="Times New Roman" w:cs="Times New Roman"/>
                <w:sz w:val="24"/>
                <w:szCs w:val="24"/>
              </w:rPr>
            </w:pPr>
            <w:r w:rsidRPr="00053030">
              <w:rPr>
                <w:rFonts w:ascii="Times New Roman" w:hAnsi="Times New Roman" w:cs="Times New Roman"/>
                <w:sz w:val="24"/>
                <w:szCs w:val="24"/>
              </w:rPr>
              <w:t>Very high satisfaction and intention for future engagement</w:t>
            </w:r>
          </w:p>
        </w:tc>
      </w:tr>
    </w:tbl>
    <w:p w14:paraId="1D0662B0" w14:textId="77777777" w:rsidR="00C77B2C" w:rsidRDefault="00C77B2C" w:rsidP="00264B0D">
      <w:pPr>
        <w:rPr>
          <w:rFonts w:ascii="Times New Roman" w:hAnsi="Times New Roman" w:cs="Times New Roman"/>
          <w:b/>
          <w:bCs/>
          <w:sz w:val="24"/>
          <w:szCs w:val="24"/>
        </w:rPr>
      </w:pPr>
    </w:p>
    <w:p w14:paraId="6821C610" w14:textId="32BB6C50" w:rsidR="00264B0D" w:rsidRPr="00053030" w:rsidRDefault="00264B0D" w:rsidP="00264B0D">
      <w:pPr>
        <w:rPr>
          <w:rFonts w:ascii="Times New Roman" w:hAnsi="Times New Roman" w:cs="Times New Roman"/>
          <w:b/>
          <w:bCs/>
          <w:sz w:val="24"/>
          <w:szCs w:val="24"/>
        </w:rPr>
      </w:pPr>
      <w:r w:rsidRPr="00053030">
        <w:rPr>
          <w:rFonts w:ascii="Times New Roman" w:hAnsi="Times New Roman" w:cs="Times New Roman"/>
          <w:b/>
          <w:bCs/>
          <w:sz w:val="24"/>
          <w:szCs w:val="24"/>
        </w:rPr>
        <w:t>Pre- versus Post-</w:t>
      </w:r>
      <w:r w:rsidR="00C77B2C">
        <w:rPr>
          <w:rFonts w:ascii="Times New Roman" w:hAnsi="Times New Roman" w:cs="Times New Roman"/>
          <w:b/>
          <w:bCs/>
          <w:sz w:val="24"/>
          <w:szCs w:val="24"/>
        </w:rPr>
        <w:t xml:space="preserve"> TCA</w:t>
      </w:r>
      <w:r w:rsidRPr="00053030">
        <w:rPr>
          <w:rFonts w:ascii="Times New Roman" w:hAnsi="Times New Roman" w:cs="Times New Roman"/>
          <w:b/>
          <w:bCs/>
          <w:sz w:val="24"/>
          <w:szCs w:val="24"/>
        </w:rPr>
        <w:t xml:space="preserve"> Comparison</w:t>
      </w:r>
    </w:p>
    <w:p w14:paraId="72B83C09" w14:textId="63C88910" w:rsidR="00264B0D" w:rsidRPr="00053030" w:rsidRDefault="00264B0D" w:rsidP="00264B0D">
      <w:pPr>
        <w:rPr>
          <w:rFonts w:ascii="Times New Roman" w:hAnsi="Times New Roman" w:cs="Times New Roman"/>
          <w:sz w:val="24"/>
          <w:szCs w:val="24"/>
        </w:rPr>
      </w:pPr>
      <w:r w:rsidRPr="00053030">
        <w:rPr>
          <w:rFonts w:ascii="Times New Roman" w:hAnsi="Times New Roman" w:cs="Times New Roman"/>
          <w:sz w:val="24"/>
          <w:szCs w:val="24"/>
        </w:rPr>
        <w:t xml:space="preserve">Before the seminar, participants expressed expectations around learning, networking and partnership creation. After participation, feedback indicates that these expectations were largely achieved or exceeded. The </w:t>
      </w:r>
      <w:r w:rsidR="00C77B2C">
        <w:rPr>
          <w:rFonts w:ascii="Times New Roman" w:hAnsi="Times New Roman" w:cs="Times New Roman"/>
          <w:sz w:val="24"/>
          <w:szCs w:val="24"/>
        </w:rPr>
        <w:t>training</w:t>
      </w:r>
      <w:r w:rsidRPr="00053030">
        <w:rPr>
          <w:rFonts w:ascii="Times New Roman" w:hAnsi="Times New Roman" w:cs="Times New Roman"/>
          <w:sz w:val="24"/>
          <w:szCs w:val="24"/>
        </w:rPr>
        <w:t xml:space="preserve"> transformed expectations into concrete actions, partnerships and implementation plans.</w:t>
      </w:r>
    </w:p>
    <w:p w14:paraId="606020C2" w14:textId="77777777" w:rsidR="00872F11" w:rsidRPr="00053030" w:rsidRDefault="00872F11" w:rsidP="00872F11">
      <w:pPr>
        <w:rPr>
          <w:rFonts w:ascii="Times New Roman" w:hAnsi="Times New Roman" w:cs="Times New Roman"/>
          <w:b/>
          <w:bCs/>
          <w:sz w:val="24"/>
          <w:szCs w:val="24"/>
        </w:rPr>
      </w:pPr>
      <w:r w:rsidRPr="00053030">
        <w:rPr>
          <w:rFonts w:ascii="Times New Roman" w:hAnsi="Times New Roman" w:cs="Times New Roman"/>
          <w:b/>
          <w:bCs/>
          <w:sz w:val="24"/>
          <w:szCs w:val="24"/>
        </w:rPr>
        <w:t>Quantitative Findings</w:t>
      </w:r>
    </w:p>
    <w:p w14:paraId="62D5AEA2" w14:textId="277F3159" w:rsidR="00872F11" w:rsidRPr="00053030" w:rsidRDefault="00872F11" w:rsidP="00872F11">
      <w:pPr>
        <w:rPr>
          <w:rFonts w:ascii="Times New Roman" w:hAnsi="Times New Roman" w:cs="Times New Roman"/>
          <w:sz w:val="24"/>
          <w:szCs w:val="24"/>
        </w:rPr>
      </w:pPr>
      <w:r w:rsidRPr="00053030">
        <w:rPr>
          <w:rFonts w:ascii="Times New Roman" w:hAnsi="Times New Roman" w:cs="Times New Roman"/>
          <w:sz w:val="24"/>
          <w:szCs w:val="24"/>
        </w:rPr>
        <w:t xml:space="preserve">Overall satisfaction reached exceptional levels. All respondents reported being very satisfied with the </w:t>
      </w:r>
      <w:r w:rsidR="00C77B2C">
        <w:rPr>
          <w:rFonts w:ascii="Times New Roman" w:hAnsi="Times New Roman" w:cs="Times New Roman"/>
          <w:sz w:val="24"/>
          <w:szCs w:val="24"/>
        </w:rPr>
        <w:t xml:space="preserve">TCA </w:t>
      </w:r>
      <w:r w:rsidRPr="00053030">
        <w:rPr>
          <w:rFonts w:ascii="Times New Roman" w:hAnsi="Times New Roman" w:cs="Times New Roman"/>
          <w:sz w:val="24"/>
          <w:szCs w:val="24"/>
        </w:rPr>
        <w:t>overall. The vast majority were also very satisfied with logistics, facilitation, programme design and support from organisers, indicating excellent quality delivery.</w:t>
      </w:r>
    </w:p>
    <w:p w14:paraId="3876F6BB" w14:textId="77777777" w:rsidR="00872F11" w:rsidRPr="00053030" w:rsidRDefault="00872F11" w:rsidP="00872F11">
      <w:pPr>
        <w:rPr>
          <w:rFonts w:ascii="Times New Roman" w:hAnsi="Times New Roman" w:cs="Times New Roman"/>
          <w:b/>
          <w:bCs/>
          <w:sz w:val="24"/>
          <w:szCs w:val="24"/>
        </w:rPr>
      </w:pPr>
      <w:r w:rsidRPr="00053030">
        <w:rPr>
          <w:rFonts w:ascii="Times New Roman" w:hAnsi="Times New Roman" w:cs="Times New Roman"/>
          <w:b/>
          <w:bCs/>
          <w:sz w:val="24"/>
          <w:szCs w:val="24"/>
        </w:rPr>
        <w:t>Knowledge and Skills Impact</w:t>
      </w:r>
    </w:p>
    <w:p w14:paraId="46E4403F" w14:textId="77777777" w:rsidR="00872F11" w:rsidRPr="00053030" w:rsidRDefault="00872F11" w:rsidP="00872F11">
      <w:pPr>
        <w:rPr>
          <w:rFonts w:ascii="Times New Roman" w:hAnsi="Times New Roman" w:cs="Times New Roman"/>
          <w:sz w:val="24"/>
          <w:szCs w:val="24"/>
        </w:rPr>
      </w:pPr>
      <w:r w:rsidRPr="00053030">
        <w:rPr>
          <w:rFonts w:ascii="Times New Roman" w:hAnsi="Times New Roman" w:cs="Times New Roman"/>
          <w:sz w:val="24"/>
          <w:szCs w:val="24"/>
        </w:rPr>
        <w:t>Participants reported increased understanding of accessibility, inclusive methodologies, learner support mechanisms, mobility planning and quality standards. Many highlighted practical tools that can be immediately transferred into their organisations.</w:t>
      </w:r>
    </w:p>
    <w:p w14:paraId="51565820" w14:textId="77777777" w:rsidR="00872F11" w:rsidRPr="00053030" w:rsidRDefault="00872F11" w:rsidP="00872F11">
      <w:pPr>
        <w:rPr>
          <w:rFonts w:ascii="Times New Roman" w:hAnsi="Times New Roman" w:cs="Times New Roman"/>
          <w:b/>
          <w:bCs/>
          <w:sz w:val="24"/>
          <w:szCs w:val="24"/>
        </w:rPr>
      </w:pPr>
      <w:r w:rsidRPr="00053030">
        <w:rPr>
          <w:rFonts w:ascii="Times New Roman" w:hAnsi="Times New Roman" w:cs="Times New Roman"/>
          <w:b/>
          <w:bCs/>
          <w:sz w:val="24"/>
          <w:szCs w:val="24"/>
        </w:rPr>
        <w:t>Networking and Partnership Impact</w:t>
      </w:r>
    </w:p>
    <w:p w14:paraId="787FA5C7" w14:textId="77777777" w:rsidR="00872F11" w:rsidRPr="00053030" w:rsidRDefault="00872F11" w:rsidP="00872F11">
      <w:pPr>
        <w:rPr>
          <w:rFonts w:ascii="Times New Roman" w:hAnsi="Times New Roman" w:cs="Times New Roman"/>
          <w:sz w:val="24"/>
          <w:szCs w:val="24"/>
        </w:rPr>
      </w:pPr>
      <w:r w:rsidRPr="00053030">
        <w:rPr>
          <w:rFonts w:ascii="Times New Roman" w:hAnsi="Times New Roman" w:cs="Times New Roman"/>
          <w:sz w:val="24"/>
          <w:szCs w:val="24"/>
        </w:rPr>
        <w:t>One of the strongest impacts was the creation of new international networks. Respondents established contacts with organisations working in disability inclusion, supported living, digital inclusion, community participation and non-formal learning. Several participants expressed intentions to develop future Erasmus+ projects together.</w:t>
      </w:r>
    </w:p>
    <w:p w14:paraId="430EEE1B" w14:textId="77777777" w:rsidR="00AF2346" w:rsidRDefault="00AF2346" w:rsidP="00872F11">
      <w:pPr>
        <w:rPr>
          <w:rFonts w:ascii="Times New Roman" w:hAnsi="Times New Roman" w:cs="Times New Roman"/>
          <w:b/>
          <w:bCs/>
          <w:sz w:val="24"/>
          <w:szCs w:val="24"/>
        </w:rPr>
      </w:pPr>
    </w:p>
    <w:p w14:paraId="5C60ACB0" w14:textId="61CAFB13" w:rsidR="00872F11" w:rsidRPr="00053030" w:rsidRDefault="00872F11" w:rsidP="00872F11">
      <w:pPr>
        <w:rPr>
          <w:rFonts w:ascii="Times New Roman" w:hAnsi="Times New Roman" w:cs="Times New Roman"/>
          <w:b/>
          <w:bCs/>
          <w:sz w:val="24"/>
          <w:szCs w:val="24"/>
        </w:rPr>
      </w:pPr>
      <w:r w:rsidRPr="00053030">
        <w:rPr>
          <w:rFonts w:ascii="Times New Roman" w:hAnsi="Times New Roman" w:cs="Times New Roman"/>
          <w:b/>
          <w:bCs/>
          <w:sz w:val="24"/>
          <w:szCs w:val="24"/>
        </w:rPr>
        <w:lastRenderedPageBreak/>
        <w:t>Organisational Impact</w:t>
      </w:r>
    </w:p>
    <w:p w14:paraId="03CDB93A" w14:textId="77777777" w:rsidR="00872F11" w:rsidRPr="00053030" w:rsidRDefault="00872F11" w:rsidP="00872F11">
      <w:pPr>
        <w:rPr>
          <w:rFonts w:ascii="Times New Roman" w:hAnsi="Times New Roman" w:cs="Times New Roman"/>
          <w:sz w:val="24"/>
          <w:szCs w:val="24"/>
        </w:rPr>
      </w:pPr>
      <w:r w:rsidRPr="00053030">
        <w:rPr>
          <w:rFonts w:ascii="Times New Roman" w:hAnsi="Times New Roman" w:cs="Times New Roman"/>
          <w:sz w:val="24"/>
          <w:szCs w:val="24"/>
        </w:rPr>
        <w:t>Responses indicate strengthened institutional capacity through improved accessibility standards, new approaches to learner support, enhanced understanding of Erasmus+ funding and increased readiness to implement inclusive mobilities.</w:t>
      </w:r>
    </w:p>
    <w:p w14:paraId="06479F05" w14:textId="77777777" w:rsidR="00872F11" w:rsidRPr="00053030" w:rsidRDefault="00872F11" w:rsidP="00872F11">
      <w:pPr>
        <w:rPr>
          <w:rFonts w:ascii="Times New Roman" w:hAnsi="Times New Roman" w:cs="Times New Roman"/>
          <w:b/>
          <w:bCs/>
          <w:sz w:val="24"/>
          <w:szCs w:val="24"/>
        </w:rPr>
      </w:pPr>
      <w:r w:rsidRPr="00053030">
        <w:rPr>
          <w:rFonts w:ascii="Times New Roman" w:hAnsi="Times New Roman" w:cs="Times New Roman"/>
          <w:b/>
          <w:bCs/>
          <w:sz w:val="24"/>
          <w:szCs w:val="24"/>
        </w:rPr>
        <w:t>Dissemination and Multiplier Effect</w:t>
      </w:r>
    </w:p>
    <w:p w14:paraId="75F7AA42" w14:textId="17819830" w:rsidR="00053030" w:rsidRPr="00053030" w:rsidRDefault="00872F11">
      <w:pPr>
        <w:rPr>
          <w:rFonts w:ascii="Times New Roman" w:hAnsi="Times New Roman" w:cs="Times New Roman"/>
          <w:sz w:val="24"/>
          <w:szCs w:val="24"/>
        </w:rPr>
      </w:pPr>
      <w:r w:rsidRPr="00053030">
        <w:rPr>
          <w:rFonts w:ascii="Times New Roman" w:hAnsi="Times New Roman" w:cs="Times New Roman"/>
          <w:sz w:val="24"/>
          <w:szCs w:val="24"/>
        </w:rPr>
        <w:t>Most participants indicated plans to disseminate learning through internal seminars, staff meetings, EPALE articles, social media, workshops and presentations. This demonstrates that the event's impact is expected to extend beyond direct participants.</w:t>
      </w:r>
    </w:p>
    <w:p w14:paraId="332C2D00" w14:textId="77777777" w:rsidR="00053030" w:rsidRPr="00053030" w:rsidRDefault="00053030" w:rsidP="00053030">
      <w:pPr>
        <w:rPr>
          <w:rFonts w:ascii="Times New Roman" w:hAnsi="Times New Roman" w:cs="Times New Roman"/>
          <w:b/>
          <w:bCs/>
          <w:sz w:val="24"/>
          <w:szCs w:val="24"/>
        </w:rPr>
      </w:pPr>
      <w:r w:rsidRPr="00053030">
        <w:rPr>
          <w:rFonts w:ascii="Times New Roman" w:hAnsi="Times New Roman" w:cs="Times New Roman"/>
          <w:b/>
          <w:bCs/>
          <w:sz w:val="24"/>
          <w:szCs w:val="24"/>
        </w:rPr>
        <w:t>Thematic Analysis of Qualitative Responses</w:t>
      </w:r>
    </w:p>
    <w:p w14:paraId="40C736F6" w14:textId="77777777" w:rsidR="00053030" w:rsidRPr="00053030" w:rsidRDefault="00053030" w:rsidP="00053030">
      <w:pPr>
        <w:rPr>
          <w:rFonts w:ascii="Times New Roman" w:hAnsi="Times New Roman" w:cs="Times New Roman"/>
          <w:sz w:val="24"/>
          <w:szCs w:val="24"/>
        </w:rPr>
      </w:pPr>
      <w:r w:rsidRPr="00053030">
        <w:rPr>
          <w:rFonts w:ascii="Times New Roman" w:hAnsi="Times New Roman" w:cs="Times New Roman"/>
          <w:sz w:val="24"/>
          <w:szCs w:val="24"/>
        </w:rPr>
        <w:t>Exchange of good practices in inclusive adult education</w:t>
      </w:r>
    </w:p>
    <w:p w14:paraId="35944CAA" w14:textId="77777777" w:rsidR="00053030" w:rsidRPr="00053030" w:rsidRDefault="00053030" w:rsidP="00053030">
      <w:pPr>
        <w:rPr>
          <w:rFonts w:ascii="Times New Roman" w:hAnsi="Times New Roman" w:cs="Times New Roman"/>
          <w:sz w:val="24"/>
          <w:szCs w:val="24"/>
        </w:rPr>
      </w:pPr>
      <w:r w:rsidRPr="00053030">
        <w:rPr>
          <w:rFonts w:ascii="Times New Roman" w:hAnsi="Times New Roman" w:cs="Times New Roman"/>
          <w:sz w:val="24"/>
          <w:szCs w:val="24"/>
        </w:rPr>
        <w:t>Improved competence in accessibility and support for learners with disabilities</w:t>
      </w:r>
    </w:p>
    <w:p w14:paraId="154DF2AC" w14:textId="77777777" w:rsidR="00053030" w:rsidRPr="00053030" w:rsidRDefault="00053030" w:rsidP="00053030">
      <w:pPr>
        <w:rPr>
          <w:rFonts w:ascii="Times New Roman" w:hAnsi="Times New Roman" w:cs="Times New Roman"/>
          <w:sz w:val="24"/>
          <w:szCs w:val="24"/>
        </w:rPr>
      </w:pPr>
      <w:r w:rsidRPr="00053030">
        <w:rPr>
          <w:rFonts w:ascii="Times New Roman" w:hAnsi="Times New Roman" w:cs="Times New Roman"/>
          <w:sz w:val="24"/>
          <w:szCs w:val="24"/>
        </w:rPr>
        <w:t>Increased confidence to implement inclusive Erasmus+ mobilities</w:t>
      </w:r>
    </w:p>
    <w:p w14:paraId="6A636CF3" w14:textId="77777777" w:rsidR="00053030" w:rsidRPr="00053030" w:rsidRDefault="00053030" w:rsidP="00053030">
      <w:pPr>
        <w:rPr>
          <w:rFonts w:ascii="Times New Roman" w:hAnsi="Times New Roman" w:cs="Times New Roman"/>
          <w:sz w:val="24"/>
          <w:szCs w:val="24"/>
        </w:rPr>
      </w:pPr>
      <w:r w:rsidRPr="00053030">
        <w:rPr>
          <w:rFonts w:ascii="Times New Roman" w:hAnsi="Times New Roman" w:cs="Times New Roman"/>
          <w:sz w:val="24"/>
          <w:szCs w:val="24"/>
        </w:rPr>
        <w:t>Development of sustainable European partnerships</w:t>
      </w:r>
    </w:p>
    <w:p w14:paraId="03579686" w14:textId="77777777" w:rsidR="00053030" w:rsidRPr="00053030" w:rsidRDefault="00053030" w:rsidP="00053030">
      <w:pPr>
        <w:rPr>
          <w:rFonts w:ascii="Times New Roman" w:hAnsi="Times New Roman" w:cs="Times New Roman"/>
          <w:sz w:val="24"/>
          <w:szCs w:val="24"/>
        </w:rPr>
      </w:pPr>
      <w:r w:rsidRPr="00053030">
        <w:rPr>
          <w:rFonts w:ascii="Times New Roman" w:hAnsi="Times New Roman" w:cs="Times New Roman"/>
          <w:sz w:val="24"/>
          <w:szCs w:val="24"/>
        </w:rPr>
        <w:t>Recognition of the value of peer learning and international cooperation</w:t>
      </w:r>
    </w:p>
    <w:p w14:paraId="523649E7" w14:textId="77777777" w:rsidR="00053030" w:rsidRPr="00053030" w:rsidRDefault="00053030" w:rsidP="00053030">
      <w:pPr>
        <w:rPr>
          <w:rFonts w:ascii="Times New Roman" w:hAnsi="Times New Roman" w:cs="Times New Roman"/>
          <w:sz w:val="24"/>
          <w:szCs w:val="24"/>
        </w:rPr>
      </w:pPr>
      <w:r w:rsidRPr="00053030">
        <w:rPr>
          <w:rFonts w:ascii="Times New Roman" w:hAnsi="Times New Roman" w:cs="Times New Roman"/>
          <w:sz w:val="24"/>
          <w:szCs w:val="24"/>
        </w:rPr>
        <w:t>Greater awareness of barriers experienced by learners with fewer opportunities</w:t>
      </w:r>
    </w:p>
    <w:p w14:paraId="07BDF7BE" w14:textId="77777777" w:rsidR="00053030" w:rsidRPr="00053030" w:rsidRDefault="00053030" w:rsidP="00053030">
      <w:pPr>
        <w:rPr>
          <w:rFonts w:ascii="Times New Roman" w:hAnsi="Times New Roman" w:cs="Times New Roman"/>
          <w:b/>
          <w:bCs/>
          <w:sz w:val="24"/>
          <w:szCs w:val="24"/>
        </w:rPr>
      </w:pPr>
      <w:r w:rsidRPr="00053030">
        <w:rPr>
          <w:rFonts w:ascii="Times New Roman" w:hAnsi="Times New Roman" w:cs="Times New Roman"/>
          <w:b/>
          <w:bCs/>
          <w:sz w:val="24"/>
          <w:szCs w:val="24"/>
        </w:rPr>
        <w:t>Illustrative Participant Statements (paraphrased)</w:t>
      </w:r>
    </w:p>
    <w:p w14:paraId="1DD5D8D1" w14:textId="77777777" w:rsidR="00053030" w:rsidRPr="00053030" w:rsidRDefault="00053030" w:rsidP="00053030">
      <w:pPr>
        <w:rPr>
          <w:rFonts w:ascii="Times New Roman" w:hAnsi="Times New Roman" w:cs="Times New Roman"/>
          <w:sz w:val="24"/>
          <w:szCs w:val="24"/>
        </w:rPr>
      </w:pPr>
      <w:r w:rsidRPr="00053030">
        <w:rPr>
          <w:rFonts w:ascii="Times New Roman" w:hAnsi="Times New Roman" w:cs="Times New Roman"/>
          <w:sz w:val="24"/>
          <w:szCs w:val="24"/>
        </w:rPr>
        <w:t>Participants valued practical examples demonstrating how inclusive mobility can strengthen learner autonomy and confidence.</w:t>
      </w:r>
    </w:p>
    <w:p w14:paraId="2FEB8485" w14:textId="77777777" w:rsidR="00053030" w:rsidRPr="00053030" w:rsidRDefault="00053030" w:rsidP="00053030">
      <w:pPr>
        <w:rPr>
          <w:rFonts w:ascii="Times New Roman" w:hAnsi="Times New Roman" w:cs="Times New Roman"/>
          <w:sz w:val="24"/>
          <w:szCs w:val="24"/>
        </w:rPr>
      </w:pPr>
      <w:r w:rsidRPr="00053030">
        <w:rPr>
          <w:rFonts w:ascii="Times New Roman" w:hAnsi="Times New Roman" w:cs="Times New Roman"/>
          <w:sz w:val="24"/>
          <w:szCs w:val="24"/>
        </w:rPr>
        <w:t>Many participants highlighted the importance of accessible materials, mentoring and structured support systems.</w:t>
      </w:r>
    </w:p>
    <w:p w14:paraId="7947BDCD" w14:textId="77777777" w:rsidR="00053030" w:rsidRPr="00053030" w:rsidRDefault="00053030" w:rsidP="00053030">
      <w:pPr>
        <w:rPr>
          <w:rFonts w:ascii="Times New Roman" w:hAnsi="Times New Roman" w:cs="Times New Roman"/>
          <w:sz w:val="24"/>
          <w:szCs w:val="24"/>
        </w:rPr>
      </w:pPr>
      <w:r w:rsidRPr="00053030">
        <w:rPr>
          <w:rFonts w:ascii="Times New Roman" w:hAnsi="Times New Roman" w:cs="Times New Roman"/>
          <w:sz w:val="24"/>
          <w:szCs w:val="24"/>
        </w:rPr>
        <w:t>Several respondents emphasised that the seminar inspired future Erasmus+ project ideas and collaborations.</w:t>
      </w:r>
    </w:p>
    <w:p w14:paraId="5049595B" w14:textId="77777777" w:rsidR="00053030" w:rsidRPr="00053030" w:rsidRDefault="00053030" w:rsidP="00053030">
      <w:pPr>
        <w:rPr>
          <w:rFonts w:ascii="Times New Roman" w:hAnsi="Times New Roman" w:cs="Times New Roman"/>
          <w:b/>
          <w:bCs/>
          <w:sz w:val="24"/>
          <w:szCs w:val="24"/>
        </w:rPr>
      </w:pPr>
      <w:r w:rsidRPr="00053030">
        <w:rPr>
          <w:rFonts w:ascii="Times New Roman" w:hAnsi="Times New Roman" w:cs="Times New Roman"/>
          <w:b/>
          <w:bCs/>
          <w:sz w:val="24"/>
          <w:szCs w:val="24"/>
        </w:rPr>
        <w:t>Recommendations</w:t>
      </w:r>
    </w:p>
    <w:p w14:paraId="28F5E9E0" w14:textId="77777777" w:rsidR="00053030" w:rsidRPr="00053030" w:rsidRDefault="00053030" w:rsidP="00053030">
      <w:pPr>
        <w:rPr>
          <w:rFonts w:ascii="Times New Roman" w:hAnsi="Times New Roman" w:cs="Times New Roman"/>
          <w:sz w:val="24"/>
          <w:szCs w:val="24"/>
        </w:rPr>
      </w:pPr>
      <w:r w:rsidRPr="00053030">
        <w:rPr>
          <w:rFonts w:ascii="Times New Roman" w:hAnsi="Times New Roman" w:cs="Times New Roman"/>
          <w:sz w:val="24"/>
          <w:szCs w:val="24"/>
        </w:rPr>
        <w:t>Continue organising thematic networking events focused on inclusion and disability.</w:t>
      </w:r>
    </w:p>
    <w:p w14:paraId="7D1A0CD7" w14:textId="77777777" w:rsidR="00053030" w:rsidRPr="00053030" w:rsidRDefault="00053030" w:rsidP="00053030">
      <w:pPr>
        <w:rPr>
          <w:rFonts w:ascii="Times New Roman" w:hAnsi="Times New Roman" w:cs="Times New Roman"/>
          <w:sz w:val="24"/>
          <w:szCs w:val="24"/>
        </w:rPr>
      </w:pPr>
      <w:r w:rsidRPr="00053030">
        <w:rPr>
          <w:rFonts w:ascii="Times New Roman" w:hAnsi="Times New Roman" w:cs="Times New Roman"/>
          <w:sz w:val="24"/>
          <w:szCs w:val="24"/>
        </w:rPr>
        <w:t>Facilitate post-event communities of practice to sustain partnerships.</w:t>
      </w:r>
    </w:p>
    <w:p w14:paraId="6B6B8578" w14:textId="77777777" w:rsidR="00053030" w:rsidRPr="00053030" w:rsidRDefault="00053030" w:rsidP="00053030">
      <w:pPr>
        <w:rPr>
          <w:rFonts w:ascii="Times New Roman" w:hAnsi="Times New Roman" w:cs="Times New Roman"/>
          <w:sz w:val="24"/>
          <w:szCs w:val="24"/>
        </w:rPr>
      </w:pPr>
      <w:r w:rsidRPr="00053030">
        <w:rPr>
          <w:rFonts w:ascii="Times New Roman" w:hAnsi="Times New Roman" w:cs="Times New Roman"/>
          <w:sz w:val="24"/>
          <w:szCs w:val="24"/>
        </w:rPr>
        <w:t>Provide follow-up webinars and mentoring for project development.</w:t>
      </w:r>
    </w:p>
    <w:p w14:paraId="16EC460E" w14:textId="77777777" w:rsidR="00053030" w:rsidRPr="00053030" w:rsidRDefault="00053030" w:rsidP="00053030">
      <w:pPr>
        <w:rPr>
          <w:rFonts w:ascii="Times New Roman" w:hAnsi="Times New Roman" w:cs="Times New Roman"/>
          <w:sz w:val="24"/>
          <w:szCs w:val="24"/>
        </w:rPr>
      </w:pPr>
      <w:r w:rsidRPr="00053030">
        <w:rPr>
          <w:rFonts w:ascii="Times New Roman" w:hAnsi="Times New Roman" w:cs="Times New Roman"/>
          <w:sz w:val="24"/>
          <w:szCs w:val="24"/>
        </w:rPr>
        <w:t>Document and disseminate examples of successful inclusive mobility practices.</w:t>
      </w:r>
    </w:p>
    <w:p w14:paraId="61B8345D" w14:textId="77777777" w:rsidR="00981EB6" w:rsidRPr="003866E0" w:rsidRDefault="00981EB6" w:rsidP="00981EB6">
      <w:pPr>
        <w:pStyle w:val="Heading1"/>
        <w:rPr>
          <w:rFonts w:ascii="Times New Roman" w:hAnsi="Times New Roman" w:cs="Times New Roman"/>
          <w:color w:val="auto"/>
          <w:sz w:val="24"/>
          <w:szCs w:val="24"/>
        </w:rPr>
      </w:pPr>
      <w:r w:rsidRPr="003866E0">
        <w:rPr>
          <w:rFonts w:ascii="Times New Roman" w:hAnsi="Times New Roman" w:cs="Times New Roman"/>
          <w:color w:val="auto"/>
          <w:sz w:val="24"/>
          <w:szCs w:val="24"/>
        </w:rPr>
        <w:lastRenderedPageBreak/>
        <w:t>Conclusion</w:t>
      </w:r>
    </w:p>
    <w:p w14:paraId="22984E0C" w14:textId="3AAF94DE" w:rsidR="00053030" w:rsidRPr="00053030" w:rsidRDefault="00981EB6" w:rsidP="00981EB6">
      <w:pPr>
        <w:rPr>
          <w:rFonts w:ascii="Times New Roman" w:hAnsi="Times New Roman" w:cs="Times New Roman"/>
          <w:sz w:val="24"/>
          <w:szCs w:val="24"/>
        </w:rPr>
      </w:pPr>
      <w:r w:rsidRPr="00053030">
        <w:rPr>
          <w:rFonts w:ascii="Times New Roman" w:hAnsi="Times New Roman" w:cs="Times New Roman"/>
          <w:sz w:val="24"/>
          <w:szCs w:val="24"/>
        </w:rPr>
        <w:t>The event generated a strong positive impact both at personal and organisational levels. Participants entered the activity with clear expectations related to inclusion, networking and Erasmus+ cooperation. The post-event evaluation demonstrates that these expectations were largely met or exceeded, reflected in exceptionally high satisfaction scores and positive qualitative feedback</w:t>
      </w:r>
      <w:r w:rsidR="00D276B2">
        <w:rPr>
          <w:rFonts w:ascii="Times New Roman" w:hAnsi="Times New Roman" w:cs="Times New Roman"/>
          <w:sz w:val="24"/>
          <w:szCs w:val="24"/>
        </w:rPr>
        <w:t xml:space="preserve">. </w:t>
      </w:r>
      <w:hyperlink r:id="rId11" w:history="1">
        <w:r w:rsidR="00D276B2" w:rsidRPr="00D276B2">
          <w:rPr>
            <w:rStyle w:val="Hyperlink"/>
            <w:rFonts w:ascii="Times New Roman" w:hAnsi="Times New Roman" w:cs="Times New Roman"/>
            <w:sz w:val="24"/>
            <w:szCs w:val="24"/>
          </w:rPr>
          <w:t>Collaborating for Inclusion</w:t>
        </w:r>
      </w:hyperlink>
    </w:p>
    <w:sectPr w:rsidR="00053030" w:rsidRPr="00053030" w:rsidSect="00034616">
      <w:head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DDD8D" w14:textId="77777777" w:rsidR="00E86F16" w:rsidRDefault="00E86F16" w:rsidP="00C77B2C">
      <w:pPr>
        <w:spacing w:after="0" w:line="240" w:lineRule="auto"/>
      </w:pPr>
      <w:r>
        <w:separator/>
      </w:r>
    </w:p>
  </w:endnote>
  <w:endnote w:type="continuationSeparator" w:id="0">
    <w:p w14:paraId="24794AF9" w14:textId="77777777" w:rsidR="00E86F16" w:rsidRDefault="00E86F16" w:rsidP="00C77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2A686" w14:textId="77777777" w:rsidR="00E86F16" w:rsidRDefault="00E86F16" w:rsidP="00C77B2C">
      <w:pPr>
        <w:spacing w:after="0" w:line="240" w:lineRule="auto"/>
      </w:pPr>
      <w:r>
        <w:separator/>
      </w:r>
    </w:p>
  </w:footnote>
  <w:footnote w:type="continuationSeparator" w:id="0">
    <w:p w14:paraId="413E84BF" w14:textId="77777777" w:rsidR="00E86F16" w:rsidRDefault="00E86F16" w:rsidP="00C77B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EBF58" w14:textId="0284B036" w:rsidR="00C77B2C" w:rsidRDefault="00C77B2C">
    <w:pPr>
      <w:pStyle w:val="Header"/>
    </w:pPr>
    <w:r>
      <w:rPr>
        <w:rFonts w:ascii="Times New Roman" w:hAnsi="Times New Roman" w:cs="Times New Roman"/>
        <w:b/>
        <w:bCs/>
        <w:noProof/>
        <w:sz w:val="24"/>
        <w:szCs w:val="24"/>
      </w:rPr>
      <w:drawing>
        <wp:inline distT="0" distB="0" distL="0" distR="0" wp14:anchorId="3768B699" wp14:editId="4731E127">
          <wp:extent cx="1092200" cy="299575"/>
          <wp:effectExtent l="0" t="0" r="0" b="5715"/>
          <wp:docPr id="15061846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1810" t="39837" r="17286" b="36557"/>
                  <a:stretch>
                    <a:fillRect/>
                  </a:stretch>
                </pic:blipFill>
                <pic:spPr bwMode="auto">
                  <a:xfrm>
                    <a:off x="0" y="0"/>
                    <a:ext cx="1098547" cy="30131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6C176A06"/>
    <w:multiLevelType w:val="hybridMultilevel"/>
    <w:tmpl w:val="75C447A4"/>
    <w:lvl w:ilvl="0" w:tplc="1809000F">
      <w:start w:val="1"/>
      <w:numFmt w:val="decimal"/>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908418541">
    <w:abstractNumId w:val="8"/>
  </w:num>
  <w:num w:numId="2" w16cid:durableId="2005695056">
    <w:abstractNumId w:val="6"/>
  </w:num>
  <w:num w:numId="3" w16cid:durableId="1020351499">
    <w:abstractNumId w:val="5"/>
  </w:num>
  <w:num w:numId="4" w16cid:durableId="1803426788">
    <w:abstractNumId w:val="4"/>
  </w:num>
  <w:num w:numId="5" w16cid:durableId="725185395">
    <w:abstractNumId w:val="7"/>
  </w:num>
  <w:num w:numId="6" w16cid:durableId="1235626818">
    <w:abstractNumId w:val="3"/>
  </w:num>
  <w:num w:numId="7" w16cid:durableId="1175804810">
    <w:abstractNumId w:val="2"/>
  </w:num>
  <w:num w:numId="8" w16cid:durableId="844368052">
    <w:abstractNumId w:val="1"/>
  </w:num>
  <w:num w:numId="9" w16cid:durableId="1176338250">
    <w:abstractNumId w:val="0"/>
  </w:num>
  <w:num w:numId="10" w16cid:durableId="5189284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3030"/>
    <w:rsid w:val="0006063C"/>
    <w:rsid w:val="0015074B"/>
    <w:rsid w:val="001C0E90"/>
    <w:rsid w:val="00264B0D"/>
    <w:rsid w:val="0029639D"/>
    <w:rsid w:val="002C378A"/>
    <w:rsid w:val="00326F90"/>
    <w:rsid w:val="003866E0"/>
    <w:rsid w:val="0042059B"/>
    <w:rsid w:val="004E2AD8"/>
    <w:rsid w:val="00510C82"/>
    <w:rsid w:val="005617F5"/>
    <w:rsid w:val="00611681"/>
    <w:rsid w:val="0068631D"/>
    <w:rsid w:val="00870A4D"/>
    <w:rsid w:val="00872F11"/>
    <w:rsid w:val="008E71BC"/>
    <w:rsid w:val="00956914"/>
    <w:rsid w:val="00981EB6"/>
    <w:rsid w:val="00995981"/>
    <w:rsid w:val="009A757E"/>
    <w:rsid w:val="009C34CF"/>
    <w:rsid w:val="00AA1D8D"/>
    <w:rsid w:val="00AF2346"/>
    <w:rsid w:val="00B47730"/>
    <w:rsid w:val="00BB3789"/>
    <w:rsid w:val="00C77B2C"/>
    <w:rsid w:val="00CB0664"/>
    <w:rsid w:val="00CD499F"/>
    <w:rsid w:val="00D276B2"/>
    <w:rsid w:val="00E86F16"/>
    <w:rsid w:val="00EE208E"/>
    <w:rsid w:val="00F97F5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6AFE6711-BDA4-4436-8505-16F15616B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D276B2"/>
    <w:rPr>
      <w:color w:val="0000FF" w:themeColor="hyperlink"/>
      <w:u w:val="single"/>
    </w:rPr>
  </w:style>
  <w:style w:type="character" w:styleId="UnresolvedMention">
    <w:name w:val="Unresolved Mention"/>
    <w:basedOn w:val="DefaultParagraphFont"/>
    <w:uiPriority w:val="99"/>
    <w:semiHidden/>
    <w:unhideWhenUsed/>
    <w:rsid w:val="00D276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dlet.com/CSTeam/collaborating-for-inclusion-r4bqgwvpriq2aot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e612a78-8425-4852-9ea9-1159fe0eec7c">
      <UserInfo>
        <DisplayName/>
        <AccountId xsi:nil="true"/>
        <AccountType/>
      </UserInfo>
    </SharedWithUsers>
    <lcf76f155ced4ddcb4097134ff3c332f xmlns="14aacf55-5e1c-4b29-a94d-8ae074179171">
      <Terms xmlns="http://schemas.microsoft.com/office/infopath/2007/PartnerControls"/>
    </lcf76f155ced4ddcb4097134ff3c332f>
    <TaxCatchAll xmlns="0e612a78-8425-4852-9ea9-1159fe0eec7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41FD3729267A4D966AC31EB7749101" ma:contentTypeVersion="16" ma:contentTypeDescription="Create a new document." ma:contentTypeScope="" ma:versionID="b384ea27d03457affa86eb9e131077bb">
  <xsd:schema xmlns:xsd="http://www.w3.org/2001/XMLSchema" xmlns:xs="http://www.w3.org/2001/XMLSchema" xmlns:p="http://schemas.microsoft.com/office/2006/metadata/properties" xmlns:ns2="14aacf55-5e1c-4b29-a94d-8ae074179171" xmlns:ns3="0e612a78-8425-4852-9ea9-1159fe0eec7c" targetNamespace="http://schemas.microsoft.com/office/2006/metadata/properties" ma:root="true" ma:fieldsID="69aa3b81fd1f2abd51f6431495868c04" ns2:_="" ns3:_="">
    <xsd:import namespace="14aacf55-5e1c-4b29-a94d-8ae074179171"/>
    <xsd:import namespace="0e612a78-8425-4852-9ea9-1159fe0eec7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aacf55-5e1c-4b29-a94d-8ae0741791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1711e8c-155d-41d6-9731-e44b879d098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612a78-8425-4852-9ea9-1159fe0eec7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2e7b599-5fe6-48cb-a81c-59bec3bea4bb}" ma:internalName="TaxCatchAll" ma:showField="CatchAllData" ma:web="0e612a78-8425-4852-9ea9-1159fe0eec7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5B9F2-C18A-4EE7-9F19-92D4D1B2D017}">
  <ds:schemaRefs>
    <ds:schemaRef ds:uri="http://schemas.microsoft.com/office/2006/metadata/properties"/>
    <ds:schemaRef ds:uri="http://schemas.microsoft.com/office/infopath/2007/PartnerControls"/>
    <ds:schemaRef ds:uri="0e612a78-8425-4852-9ea9-1159fe0eec7c"/>
    <ds:schemaRef ds:uri="14aacf55-5e1c-4b29-a94d-8ae074179171"/>
  </ds:schemaRefs>
</ds:datastoreItem>
</file>

<file path=customXml/itemProps2.xml><?xml version="1.0" encoding="utf-8"?>
<ds:datastoreItem xmlns:ds="http://schemas.openxmlformats.org/officeDocument/2006/customXml" ds:itemID="{EC9EA058-16BE-41C5-A93F-B405AE8D9F79}">
  <ds:schemaRefs>
    <ds:schemaRef ds:uri="http://schemas.microsoft.com/sharepoint/v3/contenttype/forms"/>
  </ds:schemaRefs>
</ds:datastoreItem>
</file>

<file path=customXml/itemProps3.xml><?xml version="1.0" encoding="utf-8"?>
<ds:datastoreItem xmlns:ds="http://schemas.openxmlformats.org/officeDocument/2006/customXml" ds:itemID="{090041AA-68E7-4671-8D38-D0138D3D8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aacf55-5e1c-4b29-a94d-8ae074179171"/>
    <ds:schemaRef ds:uri="0e612a78-8425-4852-9ea9-1159fe0eec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841</Words>
  <Characters>4795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Anna Kadzik</cp:lastModifiedBy>
  <cp:revision>3</cp:revision>
  <dcterms:created xsi:type="dcterms:W3CDTF">2026-06-25T12:43:00Z</dcterms:created>
  <dcterms:modified xsi:type="dcterms:W3CDTF">2026-07-01T09:36:00Z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0x010100F841FD3729267A4D966AC31EB7749101</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